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574" w:rsidRDefault="001A3184" w:rsidP="001A3184">
      <w:pPr>
        <w:pStyle w:val="Default"/>
        <w:rPr>
          <w:sz w:val="22"/>
          <w:szCs w:val="22"/>
        </w:rPr>
      </w:pPr>
      <w:bookmarkStart w:id="0" w:name="_GoBack"/>
      <w:r>
        <w:rPr>
          <w:noProof/>
          <w:lang w:eastAsia="en-IE"/>
        </w:rPr>
        <w:drawing>
          <wp:inline distT="0" distB="0" distL="0" distR="0" wp14:anchorId="3B6107A3" wp14:editId="146EDA4D">
            <wp:extent cx="1657350" cy="5356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628" cy="537636"/>
                    </a:xfrm>
                    <a:prstGeom prst="rect">
                      <a:avLst/>
                    </a:prstGeom>
                    <a:noFill/>
                  </pic:spPr>
                </pic:pic>
              </a:graphicData>
            </a:graphic>
          </wp:inline>
        </w:drawing>
      </w:r>
      <w:bookmarkEnd w:id="0"/>
      <w:r w:rsidR="005B1574">
        <w:t xml:space="preserve"> </w:t>
      </w:r>
      <w:r>
        <w:tab/>
      </w:r>
      <w:r>
        <w:tab/>
      </w:r>
      <w:r w:rsidR="00FB5196">
        <w:tab/>
      </w:r>
      <w:r w:rsidR="005B1574">
        <w:rPr>
          <w:b/>
          <w:bCs/>
          <w:sz w:val="22"/>
          <w:szCs w:val="22"/>
        </w:rPr>
        <w:t xml:space="preserve">PERSON SPECIFICATION </w:t>
      </w:r>
    </w:p>
    <w:p w:rsidR="005B1574" w:rsidRDefault="005B1574" w:rsidP="005B1574">
      <w:pPr>
        <w:pStyle w:val="Default"/>
        <w:jc w:val="center"/>
        <w:rPr>
          <w:sz w:val="22"/>
          <w:szCs w:val="22"/>
        </w:rPr>
      </w:pPr>
    </w:p>
    <w:p w:rsidR="005B1574" w:rsidRDefault="005B1574" w:rsidP="005B1574">
      <w:pPr>
        <w:pStyle w:val="Default"/>
        <w:ind w:right="-767"/>
        <w:rPr>
          <w:b/>
          <w:bCs/>
          <w:sz w:val="22"/>
          <w:szCs w:val="22"/>
          <w:u w:val="single"/>
        </w:rPr>
      </w:pPr>
      <w:r>
        <w:rPr>
          <w:b/>
          <w:bCs/>
          <w:sz w:val="22"/>
          <w:szCs w:val="22"/>
          <w:u w:val="single"/>
        </w:rPr>
        <w:t xml:space="preserve">Qualifications and Eligibility: </w:t>
      </w:r>
    </w:p>
    <w:p w:rsidR="005B1574" w:rsidRDefault="005B1574" w:rsidP="005B1574">
      <w:pPr>
        <w:pStyle w:val="Default"/>
        <w:rPr>
          <w:sz w:val="22"/>
          <w:szCs w:val="22"/>
        </w:rPr>
      </w:pPr>
      <w:r>
        <w:rPr>
          <w:b/>
          <w:bCs/>
          <w:sz w:val="22"/>
          <w:szCs w:val="22"/>
        </w:rPr>
        <w:t xml:space="preserve">Qualifications: </w:t>
      </w:r>
    </w:p>
    <w:p w:rsidR="005B1574" w:rsidRDefault="005B1574" w:rsidP="005B1574">
      <w:pPr>
        <w:pStyle w:val="Default"/>
        <w:numPr>
          <w:ilvl w:val="0"/>
          <w:numId w:val="3"/>
        </w:numPr>
        <w:spacing w:after="200"/>
        <w:jc w:val="both"/>
        <w:rPr>
          <w:sz w:val="22"/>
          <w:szCs w:val="22"/>
        </w:rPr>
      </w:pPr>
      <w:r>
        <w:rPr>
          <w:sz w:val="22"/>
          <w:szCs w:val="22"/>
        </w:rPr>
        <w:t xml:space="preserve">Applicants must meet the general and special requirements as set out from time to time by the Teaching Council of Ireland for the advertised subject(s). Further details and a full list of recognized qualifications are available on </w:t>
      </w:r>
      <w:r>
        <w:rPr>
          <w:sz w:val="22"/>
          <w:szCs w:val="22"/>
          <w:u w:val="single"/>
        </w:rPr>
        <w:t xml:space="preserve">www.teachingcouncil.ie </w:t>
      </w:r>
    </w:p>
    <w:p w:rsidR="005B1574" w:rsidRDefault="00C457E7" w:rsidP="005B1574">
      <w:pPr>
        <w:pStyle w:val="Default"/>
        <w:numPr>
          <w:ilvl w:val="0"/>
          <w:numId w:val="3"/>
        </w:numPr>
        <w:spacing w:after="200"/>
        <w:jc w:val="both"/>
        <w:rPr>
          <w:sz w:val="22"/>
          <w:szCs w:val="22"/>
        </w:rPr>
      </w:pPr>
      <w:r>
        <w:rPr>
          <w:sz w:val="22"/>
          <w:szCs w:val="22"/>
        </w:rPr>
        <w:t>Applicants,</w:t>
      </w:r>
      <w:r w:rsidR="005B1574">
        <w:rPr>
          <w:sz w:val="22"/>
          <w:szCs w:val="22"/>
        </w:rPr>
        <w:t xml:space="preserve"> who are in their final year of degree/postgraduate diploma which will lead to a teaching qualification, but who have not yet completed their final exams and/or received their results, may apply for advertised vacancies, subject to the provisions regarding Teaching Council registration set out below. Any offer of interview or employment is made pending the applicant’s results meeting the requirements of the vacancy. </w:t>
      </w:r>
    </w:p>
    <w:p w:rsidR="005B1574" w:rsidRDefault="005B1574" w:rsidP="005B1574">
      <w:pPr>
        <w:pStyle w:val="Default"/>
        <w:ind w:left="780" w:right="-767" w:hanging="780"/>
        <w:jc w:val="both"/>
        <w:rPr>
          <w:sz w:val="22"/>
          <w:szCs w:val="22"/>
        </w:rPr>
      </w:pPr>
      <w:r>
        <w:rPr>
          <w:b/>
          <w:bCs/>
          <w:sz w:val="22"/>
          <w:szCs w:val="22"/>
        </w:rPr>
        <w:t xml:space="preserve">Registration with the Teaching Council of Ireland (Essential): </w:t>
      </w:r>
    </w:p>
    <w:p w:rsidR="005B1574" w:rsidRDefault="005B1574" w:rsidP="005B1574">
      <w:pPr>
        <w:pStyle w:val="Default"/>
        <w:numPr>
          <w:ilvl w:val="0"/>
          <w:numId w:val="5"/>
        </w:numPr>
        <w:spacing w:after="200"/>
        <w:jc w:val="both"/>
        <w:rPr>
          <w:sz w:val="22"/>
          <w:szCs w:val="22"/>
        </w:rPr>
      </w:pPr>
      <w:r>
        <w:rPr>
          <w:sz w:val="22"/>
          <w:szCs w:val="22"/>
        </w:rPr>
        <w:t xml:space="preserve">Applicants must be currently registered with the Teaching Council of Ireland </w:t>
      </w:r>
    </w:p>
    <w:p w:rsidR="005B1574" w:rsidRDefault="005B1574" w:rsidP="005B1574">
      <w:pPr>
        <w:pStyle w:val="Default"/>
        <w:numPr>
          <w:ilvl w:val="0"/>
          <w:numId w:val="5"/>
        </w:numPr>
        <w:spacing w:after="200"/>
        <w:jc w:val="both"/>
        <w:rPr>
          <w:sz w:val="22"/>
          <w:szCs w:val="22"/>
        </w:rPr>
      </w:pPr>
      <w:r w:rsidRPr="005B1574">
        <w:rPr>
          <w:sz w:val="22"/>
          <w:szCs w:val="22"/>
        </w:rPr>
        <w:t>Applicants shall provide a current Registration Certificate, or</w:t>
      </w:r>
      <w:r>
        <w:rPr>
          <w:sz w:val="22"/>
          <w:szCs w:val="22"/>
        </w:rPr>
        <w:t xml:space="preserve"> confirmation of Registration.</w:t>
      </w:r>
    </w:p>
    <w:p w:rsidR="005B1574" w:rsidRDefault="005B1574" w:rsidP="005B1574">
      <w:pPr>
        <w:pStyle w:val="Default"/>
        <w:numPr>
          <w:ilvl w:val="0"/>
          <w:numId w:val="5"/>
        </w:numPr>
        <w:spacing w:after="200"/>
        <w:jc w:val="both"/>
        <w:rPr>
          <w:sz w:val="22"/>
          <w:szCs w:val="22"/>
        </w:rPr>
      </w:pPr>
      <w:r w:rsidRPr="005B1574">
        <w:rPr>
          <w:sz w:val="22"/>
          <w:szCs w:val="22"/>
        </w:rPr>
        <w:t>Applicants who are newly qualified and (i) whose qualifications are included on the Teaching Council’s list of recognized qualifications and (ii) can provide proof of application to the Teaching Council for registration will be considered for shortli</w:t>
      </w:r>
      <w:r>
        <w:rPr>
          <w:sz w:val="22"/>
          <w:szCs w:val="22"/>
        </w:rPr>
        <w:t>sting for advertised vacancies.</w:t>
      </w:r>
    </w:p>
    <w:p w:rsidR="005B1574" w:rsidRDefault="005B1574" w:rsidP="005B1574">
      <w:pPr>
        <w:pStyle w:val="Default"/>
        <w:numPr>
          <w:ilvl w:val="0"/>
          <w:numId w:val="5"/>
        </w:numPr>
        <w:spacing w:after="200"/>
        <w:jc w:val="both"/>
        <w:rPr>
          <w:sz w:val="22"/>
          <w:szCs w:val="22"/>
        </w:rPr>
      </w:pPr>
      <w:r w:rsidRPr="005B1574">
        <w:rPr>
          <w:sz w:val="22"/>
          <w:szCs w:val="22"/>
        </w:rPr>
        <w:t xml:space="preserve">Only written or email confirmation from Teaching Council of receipt of an applicant’s application for registration will be accepted as proof of application. The letter confirming Garda Vetting issued by the Teaching Council is not sufficient proof of application. </w:t>
      </w:r>
    </w:p>
    <w:p w:rsidR="00F223F0" w:rsidRPr="00F223F0" w:rsidRDefault="005B1574" w:rsidP="00F223F0">
      <w:pPr>
        <w:pStyle w:val="NoSpacing"/>
        <w:rPr>
          <w:b/>
        </w:rPr>
      </w:pPr>
      <w:r w:rsidRPr="00F223F0">
        <w:rPr>
          <w:b/>
        </w:rPr>
        <w:t>Garda Vetting:</w:t>
      </w:r>
    </w:p>
    <w:p w:rsidR="005B1574" w:rsidRPr="005B1574" w:rsidRDefault="005B1574" w:rsidP="00F223F0">
      <w:pPr>
        <w:pStyle w:val="NoSpacing"/>
      </w:pPr>
      <w:r>
        <w:t>Applicants are advised to make application to the Teaching Council at least 3 months in advance of seeking employment in order to ensure that their Garda Vetting can be arranged in a timely manner.</w:t>
      </w:r>
    </w:p>
    <w:p w:rsidR="005B1574" w:rsidRPr="005B1574" w:rsidRDefault="005B1574" w:rsidP="005B1574">
      <w:pPr>
        <w:pStyle w:val="Default"/>
        <w:numPr>
          <w:ilvl w:val="0"/>
          <w:numId w:val="6"/>
        </w:numPr>
        <w:spacing w:after="200"/>
        <w:jc w:val="both"/>
        <w:rPr>
          <w:b/>
          <w:sz w:val="22"/>
          <w:szCs w:val="22"/>
        </w:rPr>
      </w:pPr>
      <w:r>
        <w:rPr>
          <w:sz w:val="22"/>
          <w:szCs w:val="22"/>
        </w:rPr>
        <w:t>No teacher may take up a vacancy without satisfactory Garda Vetting clearance.  If an applicant has not achieved Garda Vetting clearance by the time his/her vacancy is due to commence, the offer of employment will be withdrawn.</w:t>
      </w:r>
    </w:p>
    <w:p w:rsidR="005B1574" w:rsidRPr="005B1574" w:rsidRDefault="005B1574" w:rsidP="005B1574">
      <w:pPr>
        <w:pStyle w:val="Default"/>
        <w:numPr>
          <w:ilvl w:val="0"/>
          <w:numId w:val="6"/>
        </w:numPr>
        <w:spacing w:after="200"/>
        <w:jc w:val="both"/>
        <w:rPr>
          <w:b/>
          <w:sz w:val="22"/>
          <w:szCs w:val="22"/>
        </w:rPr>
      </w:pPr>
      <w:r>
        <w:rPr>
          <w:sz w:val="22"/>
          <w:szCs w:val="22"/>
        </w:rPr>
        <w:t>Any person being appointed to a teaching position of any duration must also provide a child protection related Statutory Declaration and an associated Undertaking, unless one was provided in the previous calendar year.</w:t>
      </w:r>
    </w:p>
    <w:p w:rsidR="005B1574" w:rsidRDefault="005B1574" w:rsidP="005B1574">
      <w:pPr>
        <w:pStyle w:val="Default"/>
        <w:jc w:val="both"/>
        <w:rPr>
          <w:sz w:val="22"/>
          <w:szCs w:val="22"/>
        </w:rPr>
      </w:pPr>
      <w:r>
        <w:rPr>
          <w:b/>
          <w:bCs/>
          <w:sz w:val="22"/>
          <w:szCs w:val="22"/>
        </w:rPr>
        <w:t>Permission to Work in Ireland:</w:t>
      </w:r>
    </w:p>
    <w:p w:rsidR="005B1574" w:rsidRDefault="005B1574" w:rsidP="005B1574">
      <w:pPr>
        <w:pStyle w:val="Default"/>
        <w:numPr>
          <w:ilvl w:val="0"/>
          <w:numId w:val="7"/>
        </w:numPr>
        <w:jc w:val="both"/>
        <w:rPr>
          <w:sz w:val="22"/>
          <w:szCs w:val="22"/>
        </w:rPr>
      </w:pPr>
      <w:r>
        <w:rPr>
          <w:sz w:val="22"/>
          <w:szCs w:val="22"/>
        </w:rPr>
        <w:t xml:space="preserve">All applicants must be eligible to work in Ireland. Non EEA nationals (unless exempted) must be in possession of a valid work permit, and must provide original documentation of same. </w:t>
      </w:r>
    </w:p>
    <w:p w:rsidR="005B1574" w:rsidRDefault="005B1574" w:rsidP="005B1574">
      <w:pPr>
        <w:pStyle w:val="Default"/>
        <w:rPr>
          <w:sz w:val="22"/>
          <w:szCs w:val="22"/>
        </w:rPr>
      </w:pPr>
    </w:p>
    <w:p w:rsidR="005B1574" w:rsidRDefault="005B1574" w:rsidP="005B1574">
      <w:pPr>
        <w:pStyle w:val="Default"/>
        <w:ind w:right="-767"/>
        <w:jc w:val="both"/>
        <w:rPr>
          <w:b/>
          <w:bCs/>
          <w:sz w:val="22"/>
          <w:szCs w:val="22"/>
        </w:rPr>
      </w:pPr>
      <w:r>
        <w:rPr>
          <w:b/>
          <w:bCs/>
          <w:sz w:val="22"/>
          <w:szCs w:val="22"/>
        </w:rPr>
        <w:t xml:space="preserve">Key Skills, Knowledge and Competencies </w:t>
      </w:r>
    </w:p>
    <w:p w:rsidR="00C15E85" w:rsidRDefault="005B1574" w:rsidP="005B1574">
      <w:pPr>
        <w:pStyle w:val="Default"/>
        <w:numPr>
          <w:ilvl w:val="0"/>
          <w:numId w:val="7"/>
        </w:numPr>
        <w:spacing w:after="200"/>
        <w:jc w:val="both"/>
        <w:rPr>
          <w:sz w:val="22"/>
          <w:szCs w:val="22"/>
        </w:rPr>
      </w:pPr>
      <w:r>
        <w:rPr>
          <w:sz w:val="22"/>
          <w:szCs w:val="22"/>
        </w:rPr>
        <w:t xml:space="preserve">Applicants will be assessed at interview based on the evidence provided of their skills, knowledge and competencies across each of the areas listed below. More detail on each of these areas is included in the “Teacher Job Description” document. </w:t>
      </w:r>
    </w:p>
    <w:p w:rsidR="00C15E85" w:rsidRPr="00123E19" w:rsidRDefault="00123E19" w:rsidP="00123E19">
      <w:pPr>
        <w:pStyle w:val="Default"/>
        <w:spacing w:after="200"/>
        <w:jc w:val="both"/>
        <w:rPr>
          <w:sz w:val="22"/>
          <w:szCs w:val="22"/>
        </w:rPr>
      </w:pPr>
      <w:r>
        <w:rPr>
          <w:sz w:val="22"/>
          <w:szCs w:val="22"/>
        </w:rPr>
        <w:t>-</w:t>
      </w:r>
      <w:r w:rsidR="00A24634" w:rsidRPr="00F223F0">
        <w:rPr>
          <w:sz w:val="22"/>
          <w:szCs w:val="22"/>
        </w:rPr>
        <w:t xml:space="preserve">Teaching and Learning </w:t>
      </w:r>
      <w:r w:rsidR="00F223F0">
        <w:rPr>
          <w:sz w:val="22"/>
          <w:szCs w:val="22"/>
        </w:rPr>
        <w:tab/>
      </w:r>
      <w:r w:rsidR="00F223F0">
        <w:rPr>
          <w:sz w:val="22"/>
          <w:szCs w:val="22"/>
        </w:rPr>
        <w:tab/>
      </w:r>
      <w:r>
        <w:rPr>
          <w:sz w:val="22"/>
          <w:szCs w:val="22"/>
        </w:rPr>
        <w:tab/>
      </w:r>
      <w:r>
        <w:rPr>
          <w:sz w:val="22"/>
          <w:szCs w:val="22"/>
        </w:rPr>
        <w:tab/>
      </w:r>
      <w:r>
        <w:rPr>
          <w:sz w:val="22"/>
          <w:szCs w:val="22"/>
        </w:rPr>
        <w:tab/>
        <w:t>-</w:t>
      </w:r>
      <w:r w:rsidR="005B1574" w:rsidRPr="00123E19">
        <w:rPr>
          <w:sz w:val="22"/>
          <w:szCs w:val="22"/>
        </w:rPr>
        <w:t xml:space="preserve">Assessment </w:t>
      </w:r>
    </w:p>
    <w:p w:rsidR="00C15E85" w:rsidRPr="00F223F0" w:rsidRDefault="00123E19" w:rsidP="00123E19">
      <w:pPr>
        <w:pStyle w:val="Default"/>
        <w:spacing w:after="200"/>
        <w:jc w:val="both"/>
        <w:rPr>
          <w:sz w:val="22"/>
          <w:szCs w:val="22"/>
        </w:rPr>
      </w:pPr>
      <w:r>
        <w:rPr>
          <w:sz w:val="22"/>
          <w:szCs w:val="22"/>
        </w:rPr>
        <w:t>-</w:t>
      </w:r>
      <w:r w:rsidR="005B1574" w:rsidRPr="00F223F0">
        <w:rPr>
          <w:sz w:val="22"/>
          <w:szCs w:val="22"/>
        </w:rPr>
        <w:t xml:space="preserve">Classroom Management </w:t>
      </w:r>
      <w:r w:rsidR="00F223F0" w:rsidRPr="00F223F0">
        <w:rPr>
          <w:sz w:val="22"/>
          <w:szCs w:val="22"/>
        </w:rPr>
        <w:t xml:space="preserve">&amp; </w:t>
      </w:r>
      <w:r w:rsidR="005B1574" w:rsidRPr="00F223F0">
        <w:rPr>
          <w:sz w:val="22"/>
          <w:szCs w:val="22"/>
        </w:rPr>
        <w:t xml:space="preserve">Learning Environment </w:t>
      </w:r>
      <w:r>
        <w:rPr>
          <w:sz w:val="22"/>
          <w:szCs w:val="22"/>
        </w:rPr>
        <w:tab/>
        <w:t>-</w:t>
      </w:r>
      <w:r w:rsidR="005B1574" w:rsidRPr="00F223F0">
        <w:rPr>
          <w:sz w:val="22"/>
          <w:szCs w:val="22"/>
        </w:rPr>
        <w:t xml:space="preserve">Communication </w:t>
      </w:r>
    </w:p>
    <w:p w:rsidR="000F3F3E" w:rsidRDefault="00123E19" w:rsidP="00123E19">
      <w:pPr>
        <w:pStyle w:val="Default"/>
        <w:spacing w:after="200"/>
        <w:jc w:val="both"/>
      </w:pPr>
      <w:r>
        <w:rPr>
          <w:sz w:val="22"/>
          <w:szCs w:val="22"/>
        </w:rPr>
        <w:t>-</w:t>
      </w:r>
      <w:r w:rsidR="005B1574" w:rsidRPr="00C15E85">
        <w:rPr>
          <w:sz w:val="22"/>
          <w:szCs w:val="22"/>
        </w:rPr>
        <w:t xml:space="preserve">Professional Development &amp; Practice </w:t>
      </w:r>
      <w:r>
        <w:rPr>
          <w:sz w:val="22"/>
          <w:szCs w:val="22"/>
        </w:rPr>
        <w:tab/>
      </w:r>
      <w:r>
        <w:rPr>
          <w:sz w:val="22"/>
          <w:szCs w:val="22"/>
        </w:rPr>
        <w:tab/>
      </w:r>
      <w:r>
        <w:rPr>
          <w:sz w:val="22"/>
          <w:szCs w:val="22"/>
        </w:rPr>
        <w:tab/>
        <w:t>-Planning</w:t>
      </w:r>
      <w:r w:rsidR="001B7DC4">
        <w:rPr>
          <w:lang w:val="en-GB"/>
        </w:rPr>
        <w:tab/>
      </w:r>
    </w:p>
    <w:sectPr w:rsidR="000F3F3E" w:rsidSect="00422274">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DF1" w:rsidRDefault="00330DF1" w:rsidP="001B7DC4">
      <w:pPr>
        <w:spacing w:after="0" w:line="240" w:lineRule="auto"/>
      </w:pPr>
      <w:r>
        <w:separator/>
      </w:r>
    </w:p>
  </w:endnote>
  <w:endnote w:type="continuationSeparator" w:id="0">
    <w:p w:rsidR="00330DF1" w:rsidRDefault="00330DF1" w:rsidP="001B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DF1" w:rsidRDefault="00330DF1" w:rsidP="001B7DC4">
      <w:pPr>
        <w:spacing w:after="0" w:line="240" w:lineRule="auto"/>
      </w:pPr>
      <w:r>
        <w:separator/>
      </w:r>
    </w:p>
  </w:footnote>
  <w:footnote w:type="continuationSeparator" w:id="0">
    <w:p w:rsidR="00330DF1" w:rsidRDefault="00330DF1" w:rsidP="001B7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51B0"/>
    <w:multiLevelType w:val="hybridMultilevel"/>
    <w:tmpl w:val="032E6FE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
    <w:nsid w:val="1BB8270E"/>
    <w:multiLevelType w:val="hybridMultilevel"/>
    <w:tmpl w:val="FF142D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D710B3C"/>
    <w:multiLevelType w:val="hybridMultilevel"/>
    <w:tmpl w:val="69FC4660"/>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43694598"/>
    <w:multiLevelType w:val="hybridMultilevel"/>
    <w:tmpl w:val="B3983F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1D22438"/>
    <w:multiLevelType w:val="hybridMultilevel"/>
    <w:tmpl w:val="4BDE1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36F00EB"/>
    <w:multiLevelType w:val="hybridMultilevel"/>
    <w:tmpl w:val="C1B601FC"/>
    <w:lvl w:ilvl="0" w:tplc="8304B80C">
      <w:start w:val="1"/>
      <w:numFmt w:val="bullet"/>
      <w:lvlText w:val=""/>
      <w:lvlJc w:val="left"/>
      <w:pPr>
        <w:tabs>
          <w:tab w:val="num" w:pos="720"/>
        </w:tabs>
        <w:ind w:left="720" w:hanging="360"/>
      </w:pPr>
      <w:rPr>
        <w:rFonts w:ascii="Wingdings" w:hAnsi="Wingdings" w:hint="default"/>
      </w:rPr>
    </w:lvl>
    <w:lvl w:ilvl="1" w:tplc="4232DBAC" w:tentative="1">
      <w:start w:val="1"/>
      <w:numFmt w:val="bullet"/>
      <w:lvlText w:val=""/>
      <w:lvlJc w:val="left"/>
      <w:pPr>
        <w:tabs>
          <w:tab w:val="num" w:pos="1440"/>
        </w:tabs>
        <w:ind w:left="1440" w:hanging="360"/>
      </w:pPr>
      <w:rPr>
        <w:rFonts w:ascii="Wingdings" w:hAnsi="Wingdings" w:hint="default"/>
      </w:rPr>
    </w:lvl>
    <w:lvl w:ilvl="2" w:tplc="D480EDE8" w:tentative="1">
      <w:start w:val="1"/>
      <w:numFmt w:val="bullet"/>
      <w:lvlText w:val=""/>
      <w:lvlJc w:val="left"/>
      <w:pPr>
        <w:tabs>
          <w:tab w:val="num" w:pos="2160"/>
        </w:tabs>
        <w:ind w:left="2160" w:hanging="360"/>
      </w:pPr>
      <w:rPr>
        <w:rFonts w:ascii="Wingdings" w:hAnsi="Wingdings" w:hint="default"/>
      </w:rPr>
    </w:lvl>
    <w:lvl w:ilvl="3" w:tplc="9B882AF0" w:tentative="1">
      <w:start w:val="1"/>
      <w:numFmt w:val="bullet"/>
      <w:lvlText w:val=""/>
      <w:lvlJc w:val="left"/>
      <w:pPr>
        <w:tabs>
          <w:tab w:val="num" w:pos="2880"/>
        </w:tabs>
        <w:ind w:left="2880" w:hanging="360"/>
      </w:pPr>
      <w:rPr>
        <w:rFonts w:ascii="Wingdings" w:hAnsi="Wingdings" w:hint="default"/>
      </w:rPr>
    </w:lvl>
    <w:lvl w:ilvl="4" w:tplc="AB0676D0" w:tentative="1">
      <w:start w:val="1"/>
      <w:numFmt w:val="bullet"/>
      <w:lvlText w:val=""/>
      <w:lvlJc w:val="left"/>
      <w:pPr>
        <w:tabs>
          <w:tab w:val="num" w:pos="3600"/>
        </w:tabs>
        <w:ind w:left="3600" w:hanging="360"/>
      </w:pPr>
      <w:rPr>
        <w:rFonts w:ascii="Wingdings" w:hAnsi="Wingdings" w:hint="default"/>
      </w:rPr>
    </w:lvl>
    <w:lvl w:ilvl="5" w:tplc="AE021C46" w:tentative="1">
      <w:start w:val="1"/>
      <w:numFmt w:val="bullet"/>
      <w:lvlText w:val=""/>
      <w:lvlJc w:val="left"/>
      <w:pPr>
        <w:tabs>
          <w:tab w:val="num" w:pos="4320"/>
        </w:tabs>
        <w:ind w:left="4320" w:hanging="360"/>
      </w:pPr>
      <w:rPr>
        <w:rFonts w:ascii="Wingdings" w:hAnsi="Wingdings" w:hint="default"/>
      </w:rPr>
    </w:lvl>
    <w:lvl w:ilvl="6" w:tplc="F5FEDA22" w:tentative="1">
      <w:start w:val="1"/>
      <w:numFmt w:val="bullet"/>
      <w:lvlText w:val=""/>
      <w:lvlJc w:val="left"/>
      <w:pPr>
        <w:tabs>
          <w:tab w:val="num" w:pos="5040"/>
        </w:tabs>
        <w:ind w:left="5040" w:hanging="360"/>
      </w:pPr>
      <w:rPr>
        <w:rFonts w:ascii="Wingdings" w:hAnsi="Wingdings" w:hint="default"/>
      </w:rPr>
    </w:lvl>
    <w:lvl w:ilvl="7" w:tplc="02DC16A2" w:tentative="1">
      <w:start w:val="1"/>
      <w:numFmt w:val="bullet"/>
      <w:lvlText w:val=""/>
      <w:lvlJc w:val="left"/>
      <w:pPr>
        <w:tabs>
          <w:tab w:val="num" w:pos="5760"/>
        </w:tabs>
        <w:ind w:left="5760" w:hanging="360"/>
      </w:pPr>
      <w:rPr>
        <w:rFonts w:ascii="Wingdings" w:hAnsi="Wingdings" w:hint="default"/>
      </w:rPr>
    </w:lvl>
    <w:lvl w:ilvl="8" w:tplc="A15E2620" w:tentative="1">
      <w:start w:val="1"/>
      <w:numFmt w:val="bullet"/>
      <w:lvlText w:val=""/>
      <w:lvlJc w:val="left"/>
      <w:pPr>
        <w:tabs>
          <w:tab w:val="num" w:pos="6480"/>
        </w:tabs>
        <w:ind w:left="6480" w:hanging="360"/>
      </w:pPr>
      <w:rPr>
        <w:rFonts w:ascii="Wingdings" w:hAnsi="Wingdings" w:hint="default"/>
      </w:rPr>
    </w:lvl>
  </w:abstractNum>
  <w:abstractNum w:abstractNumId="6">
    <w:nsid w:val="667C6D41"/>
    <w:multiLevelType w:val="hybridMultilevel"/>
    <w:tmpl w:val="80A825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DDC3E46"/>
    <w:multiLevelType w:val="hybridMultilevel"/>
    <w:tmpl w:val="8F7039D8"/>
    <w:lvl w:ilvl="0" w:tplc="7C26536E">
      <w:start w:val="1"/>
      <w:numFmt w:val="bullet"/>
      <w:lvlText w:val=""/>
      <w:lvlJc w:val="left"/>
      <w:pPr>
        <w:tabs>
          <w:tab w:val="num" w:pos="720"/>
        </w:tabs>
        <w:ind w:left="720" w:hanging="360"/>
      </w:pPr>
      <w:rPr>
        <w:rFonts w:ascii="Wingdings" w:hAnsi="Wingdings" w:hint="default"/>
      </w:rPr>
    </w:lvl>
    <w:lvl w:ilvl="1" w:tplc="2F02AD96" w:tentative="1">
      <w:start w:val="1"/>
      <w:numFmt w:val="bullet"/>
      <w:lvlText w:val=""/>
      <w:lvlJc w:val="left"/>
      <w:pPr>
        <w:tabs>
          <w:tab w:val="num" w:pos="1440"/>
        </w:tabs>
        <w:ind w:left="1440" w:hanging="360"/>
      </w:pPr>
      <w:rPr>
        <w:rFonts w:ascii="Wingdings" w:hAnsi="Wingdings" w:hint="default"/>
      </w:rPr>
    </w:lvl>
    <w:lvl w:ilvl="2" w:tplc="CEEE23FC" w:tentative="1">
      <w:start w:val="1"/>
      <w:numFmt w:val="bullet"/>
      <w:lvlText w:val=""/>
      <w:lvlJc w:val="left"/>
      <w:pPr>
        <w:tabs>
          <w:tab w:val="num" w:pos="2160"/>
        </w:tabs>
        <w:ind w:left="2160" w:hanging="360"/>
      </w:pPr>
      <w:rPr>
        <w:rFonts w:ascii="Wingdings" w:hAnsi="Wingdings" w:hint="default"/>
      </w:rPr>
    </w:lvl>
    <w:lvl w:ilvl="3" w:tplc="BF72F0D6" w:tentative="1">
      <w:start w:val="1"/>
      <w:numFmt w:val="bullet"/>
      <w:lvlText w:val=""/>
      <w:lvlJc w:val="left"/>
      <w:pPr>
        <w:tabs>
          <w:tab w:val="num" w:pos="2880"/>
        </w:tabs>
        <w:ind w:left="2880" w:hanging="360"/>
      </w:pPr>
      <w:rPr>
        <w:rFonts w:ascii="Wingdings" w:hAnsi="Wingdings" w:hint="default"/>
      </w:rPr>
    </w:lvl>
    <w:lvl w:ilvl="4" w:tplc="CB227814" w:tentative="1">
      <w:start w:val="1"/>
      <w:numFmt w:val="bullet"/>
      <w:lvlText w:val=""/>
      <w:lvlJc w:val="left"/>
      <w:pPr>
        <w:tabs>
          <w:tab w:val="num" w:pos="3600"/>
        </w:tabs>
        <w:ind w:left="3600" w:hanging="360"/>
      </w:pPr>
      <w:rPr>
        <w:rFonts w:ascii="Wingdings" w:hAnsi="Wingdings" w:hint="default"/>
      </w:rPr>
    </w:lvl>
    <w:lvl w:ilvl="5" w:tplc="23F00D0C" w:tentative="1">
      <w:start w:val="1"/>
      <w:numFmt w:val="bullet"/>
      <w:lvlText w:val=""/>
      <w:lvlJc w:val="left"/>
      <w:pPr>
        <w:tabs>
          <w:tab w:val="num" w:pos="4320"/>
        </w:tabs>
        <w:ind w:left="4320" w:hanging="360"/>
      </w:pPr>
      <w:rPr>
        <w:rFonts w:ascii="Wingdings" w:hAnsi="Wingdings" w:hint="default"/>
      </w:rPr>
    </w:lvl>
    <w:lvl w:ilvl="6" w:tplc="FA1E0852" w:tentative="1">
      <w:start w:val="1"/>
      <w:numFmt w:val="bullet"/>
      <w:lvlText w:val=""/>
      <w:lvlJc w:val="left"/>
      <w:pPr>
        <w:tabs>
          <w:tab w:val="num" w:pos="5040"/>
        </w:tabs>
        <w:ind w:left="5040" w:hanging="360"/>
      </w:pPr>
      <w:rPr>
        <w:rFonts w:ascii="Wingdings" w:hAnsi="Wingdings" w:hint="default"/>
      </w:rPr>
    </w:lvl>
    <w:lvl w:ilvl="7" w:tplc="A8CE9030" w:tentative="1">
      <w:start w:val="1"/>
      <w:numFmt w:val="bullet"/>
      <w:lvlText w:val=""/>
      <w:lvlJc w:val="left"/>
      <w:pPr>
        <w:tabs>
          <w:tab w:val="num" w:pos="5760"/>
        </w:tabs>
        <w:ind w:left="5760" w:hanging="360"/>
      </w:pPr>
      <w:rPr>
        <w:rFonts w:ascii="Wingdings" w:hAnsi="Wingdings" w:hint="default"/>
      </w:rPr>
    </w:lvl>
    <w:lvl w:ilvl="8" w:tplc="025866D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14"/>
    <w:rsid w:val="00123E19"/>
    <w:rsid w:val="001A3184"/>
    <w:rsid w:val="001B7DC4"/>
    <w:rsid w:val="00330DF1"/>
    <w:rsid w:val="00422274"/>
    <w:rsid w:val="005B1574"/>
    <w:rsid w:val="00753944"/>
    <w:rsid w:val="00766414"/>
    <w:rsid w:val="00884CCE"/>
    <w:rsid w:val="009857B1"/>
    <w:rsid w:val="00A24634"/>
    <w:rsid w:val="00B05FF8"/>
    <w:rsid w:val="00BF3EEE"/>
    <w:rsid w:val="00C15E85"/>
    <w:rsid w:val="00C457E7"/>
    <w:rsid w:val="00F223F0"/>
    <w:rsid w:val="00FB51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DC4"/>
  </w:style>
  <w:style w:type="paragraph" w:styleId="Footer">
    <w:name w:val="footer"/>
    <w:basedOn w:val="Normal"/>
    <w:link w:val="FooterChar"/>
    <w:uiPriority w:val="99"/>
    <w:unhideWhenUsed/>
    <w:rsid w:val="001B7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DC4"/>
  </w:style>
  <w:style w:type="paragraph" w:styleId="BalloonText">
    <w:name w:val="Balloon Text"/>
    <w:basedOn w:val="Normal"/>
    <w:link w:val="BalloonTextChar"/>
    <w:uiPriority w:val="99"/>
    <w:semiHidden/>
    <w:unhideWhenUsed/>
    <w:rsid w:val="001B7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DC4"/>
    <w:rPr>
      <w:rFonts w:ascii="Tahoma" w:hAnsi="Tahoma" w:cs="Tahoma"/>
      <w:sz w:val="16"/>
      <w:szCs w:val="16"/>
    </w:rPr>
  </w:style>
  <w:style w:type="paragraph" w:customStyle="1" w:styleId="Default">
    <w:name w:val="Default"/>
    <w:rsid w:val="005B157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223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DC4"/>
  </w:style>
  <w:style w:type="paragraph" w:styleId="Footer">
    <w:name w:val="footer"/>
    <w:basedOn w:val="Normal"/>
    <w:link w:val="FooterChar"/>
    <w:uiPriority w:val="99"/>
    <w:unhideWhenUsed/>
    <w:rsid w:val="001B7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DC4"/>
  </w:style>
  <w:style w:type="paragraph" w:styleId="BalloonText">
    <w:name w:val="Balloon Text"/>
    <w:basedOn w:val="Normal"/>
    <w:link w:val="BalloonTextChar"/>
    <w:uiPriority w:val="99"/>
    <w:semiHidden/>
    <w:unhideWhenUsed/>
    <w:rsid w:val="001B7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DC4"/>
    <w:rPr>
      <w:rFonts w:ascii="Tahoma" w:hAnsi="Tahoma" w:cs="Tahoma"/>
      <w:sz w:val="16"/>
      <w:szCs w:val="16"/>
    </w:rPr>
  </w:style>
  <w:style w:type="paragraph" w:customStyle="1" w:styleId="Default">
    <w:name w:val="Default"/>
    <w:rsid w:val="005B157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223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996255">
      <w:bodyDiv w:val="1"/>
      <w:marLeft w:val="0"/>
      <w:marRight w:val="0"/>
      <w:marTop w:val="0"/>
      <w:marBottom w:val="0"/>
      <w:divBdr>
        <w:top w:val="none" w:sz="0" w:space="0" w:color="auto"/>
        <w:left w:val="none" w:sz="0" w:space="0" w:color="auto"/>
        <w:bottom w:val="none" w:sz="0" w:space="0" w:color="auto"/>
        <w:right w:val="none" w:sz="0" w:space="0" w:color="auto"/>
      </w:divBdr>
      <w:divsChild>
        <w:div w:id="1544829053">
          <w:marLeft w:val="547"/>
          <w:marRight w:val="0"/>
          <w:marTop w:val="86"/>
          <w:marBottom w:val="0"/>
          <w:divBdr>
            <w:top w:val="none" w:sz="0" w:space="0" w:color="auto"/>
            <w:left w:val="none" w:sz="0" w:space="0" w:color="auto"/>
            <w:bottom w:val="none" w:sz="0" w:space="0" w:color="auto"/>
            <w:right w:val="none" w:sz="0" w:space="0" w:color="auto"/>
          </w:divBdr>
        </w:div>
        <w:div w:id="2084795870">
          <w:marLeft w:val="547"/>
          <w:marRight w:val="0"/>
          <w:marTop w:val="86"/>
          <w:marBottom w:val="0"/>
          <w:divBdr>
            <w:top w:val="none" w:sz="0" w:space="0" w:color="auto"/>
            <w:left w:val="none" w:sz="0" w:space="0" w:color="auto"/>
            <w:bottom w:val="none" w:sz="0" w:space="0" w:color="auto"/>
            <w:right w:val="none" w:sz="0" w:space="0" w:color="auto"/>
          </w:divBdr>
        </w:div>
        <w:div w:id="195671846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 Kelly</dc:creator>
  <cp:lastModifiedBy>Olive Kelly</cp:lastModifiedBy>
  <cp:revision>3</cp:revision>
  <dcterms:created xsi:type="dcterms:W3CDTF">2017-04-12T10:18:00Z</dcterms:created>
  <dcterms:modified xsi:type="dcterms:W3CDTF">2017-04-13T13:05:00Z</dcterms:modified>
</cp:coreProperties>
</file>